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FA5" w:rsidRDefault="003E1814" w:rsidP="006C3FA5">
      <w:pPr>
        <w:pStyle w:val="EndnoteText"/>
        <w:suppressAutoHyphens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75431D" wp14:editId="389C5E4B">
                <wp:simplePos x="0" y="0"/>
                <wp:positionH relativeFrom="column">
                  <wp:posOffset>-9885</wp:posOffset>
                </wp:positionH>
                <wp:positionV relativeFrom="paragraph">
                  <wp:posOffset>8409</wp:posOffset>
                </wp:positionV>
                <wp:extent cx="6390914" cy="622781"/>
                <wp:effectExtent l="19050" t="19050" r="29210" b="444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0914" cy="6227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60A" w:rsidRPr="0048372B" w:rsidRDefault="007C460A" w:rsidP="006C3FA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7C460A" w:rsidRDefault="007C460A" w:rsidP="006C3FA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APPLICATION FOR CONVERSION OF AN EXIS</w:t>
                            </w:r>
                            <w:r w:rsidR="00AF5DEE">
                              <w:rPr>
                                <w:rFonts w:ascii="Times New Roman" w:hAnsi="Times New Roman"/>
                                <w:b/>
                              </w:rPr>
                              <w:t>TI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NG OPTION TO </w:t>
                            </w:r>
                          </w:p>
                          <w:p w:rsidR="007C460A" w:rsidRPr="0048372B" w:rsidRDefault="007C460A" w:rsidP="006C3FA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AN AREA OF CONCENTRATION</w:t>
                            </w:r>
                          </w:p>
                          <w:p w:rsidR="007C460A" w:rsidRPr="0048372B" w:rsidRDefault="007C460A" w:rsidP="006C3FA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7C460A" w:rsidRPr="0048372B" w:rsidRDefault="007C460A" w:rsidP="0094705C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8pt;margin-top:.65pt;width:503.2pt;height:4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" strokeweight="4.5pt">
                <v:stroke linestyle="thickThin"/>
                <v:textbox>
                  <w:txbxContent>
                    <w:p w:rsidR="007C460A" w:rsidRPr="0048372B" w:rsidRDefault="007C460A" w:rsidP="006C3FA5">
                      <w:pPr>
                        <w:jc w:val="center"/>
                        <w:rPr>
                          <w:rFonts w:ascii="Times New Roman" w:hAnsi="Times New Roman"/>
                          <w:b/>
                          <w:sz w:val="8"/>
                          <w:szCs w:val="8"/>
                        </w:rPr>
                      </w:pPr>
                    </w:p>
                    <w:p w:rsidR="007C460A" w:rsidRDefault="007C460A" w:rsidP="006C3FA5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APPLICATION FOR CONVERSION OF AN EXIS</w:t>
                      </w:r>
                      <w:r w:rsidR="00AF5DEE">
                        <w:rPr>
                          <w:rFonts w:ascii="Times New Roman" w:hAnsi="Times New Roman"/>
                          <w:b/>
                        </w:rPr>
                        <w:t>TI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NG OPTION TO </w:t>
                      </w:r>
                    </w:p>
                    <w:p w:rsidR="007C460A" w:rsidRPr="0048372B" w:rsidRDefault="007C460A" w:rsidP="006C3FA5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AN AREA OF CONCENTRATION</w:t>
                      </w:r>
                    </w:p>
                    <w:p w:rsidR="007C460A" w:rsidRPr="0048372B" w:rsidRDefault="007C460A" w:rsidP="006C3FA5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7C460A" w:rsidRPr="0048372B" w:rsidRDefault="007C460A" w:rsidP="0094705C">
                      <w:pPr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C3FA5" w:rsidRDefault="006C3FA5" w:rsidP="006C3FA5">
      <w:pPr>
        <w:pStyle w:val="EndnoteText"/>
        <w:suppressAutoHyphens/>
        <w:rPr>
          <w:rFonts w:ascii="Times New Roman" w:hAnsi="Times New Roman"/>
        </w:rPr>
      </w:pPr>
    </w:p>
    <w:p w:rsidR="006C3FA5" w:rsidRDefault="006C3FA5" w:rsidP="006C3FA5">
      <w:pPr>
        <w:pStyle w:val="EndnoteText"/>
        <w:suppressAutoHyphens/>
        <w:rPr>
          <w:rFonts w:ascii="Times New Roman" w:hAnsi="Times New Roman"/>
        </w:rPr>
      </w:pPr>
    </w:p>
    <w:p w:rsidR="006C3FA5" w:rsidRDefault="006C3FA5" w:rsidP="006C3FA5">
      <w:pPr>
        <w:pStyle w:val="EndnoteText"/>
        <w:suppressAutoHyphens/>
        <w:rPr>
          <w:rFonts w:ascii="Times New Roman" w:hAnsi="Times New Roman"/>
        </w:rPr>
      </w:pPr>
    </w:p>
    <w:p w:rsidR="007C460A" w:rsidRPr="007C460A" w:rsidRDefault="007C460A" w:rsidP="006C3FA5">
      <w:pPr>
        <w:textAlignment w:val="auto"/>
        <w:rPr>
          <w:rFonts w:ascii="Times New Roman" w:hAnsi="Times New Roman"/>
          <w:i/>
        </w:rPr>
      </w:pPr>
      <w:r w:rsidRPr="007C460A">
        <w:rPr>
          <w:rFonts w:ascii="Times New Roman" w:hAnsi="Times New Roman"/>
          <w:i/>
        </w:rPr>
        <w:t xml:space="preserve">In accordance with COMAR 13B.02.03.03-1, a community college that publicized a sequential arrangement of approved courses as an option, totaling 12 to 30 credits on or before </w:t>
      </w:r>
    </w:p>
    <w:p w:rsidR="007C460A" w:rsidRDefault="007C460A" w:rsidP="006C3FA5">
      <w:pPr>
        <w:textAlignment w:val="auto"/>
        <w:rPr>
          <w:rFonts w:ascii="Times New Roman" w:hAnsi="Times New Roman"/>
          <w:b/>
          <w:i/>
        </w:rPr>
      </w:pPr>
      <w:r w:rsidRPr="007C460A">
        <w:rPr>
          <w:rFonts w:ascii="Times New Roman" w:hAnsi="Times New Roman"/>
          <w:i/>
        </w:rPr>
        <w:t>June 30, 2014, may have that arrangement approved as an area of concentration.</w:t>
      </w:r>
      <w:r w:rsidR="00C676C1">
        <w:rPr>
          <w:rFonts w:ascii="Times New Roman" w:hAnsi="Times New Roman"/>
          <w:i/>
        </w:rPr>
        <w:t xml:space="preserve">  All conversion proposals must be received no later than </w:t>
      </w:r>
      <w:r w:rsidR="00C676C1" w:rsidRPr="00C676C1">
        <w:rPr>
          <w:rFonts w:ascii="Times New Roman" w:hAnsi="Times New Roman"/>
          <w:b/>
          <w:i/>
          <w:u w:val="single"/>
        </w:rPr>
        <w:t>JUNE 30, 2017</w:t>
      </w:r>
      <w:r w:rsidR="00C676C1">
        <w:rPr>
          <w:rFonts w:ascii="Times New Roman" w:hAnsi="Times New Roman"/>
          <w:b/>
          <w:i/>
        </w:rPr>
        <w:t>.</w:t>
      </w:r>
      <w:r w:rsidR="0067253B">
        <w:rPr>
          <w:rFonts w:ascii="Times New Roman" w:hAnsi="Times New Roman"/>
          <w:b/>
          <w:i/>
        </w:rPr>
        <w:br/>
      </w:r>
    </w:p>
    <w:p w:rsidR="0067253B" w:rsidRPr="0067253B" w:rsidRDefault="0067253B" w:rsidP="0067253B">
      <w:pPr>
        <w:textAlignment w:val="auto"/>
        <w:rPr>
          <w:rFonts w:ascii="Times New Roman" w:hAnsi="Times New Roman"/>
        </w:rPr>
      </w:pPr>
      <w:r w:rsidRPr="0067253B">
        <w:rPr>
          <w:rFonts w:ascii="Times New Roman" w:hAnsi="Times New Roman"/>
        </w:rPr>
        <w:t>Fee schedule for Community College Option Conversions:</w:t>
      </w:r>
    </w:p>
    <w:p w:rsidR="0067253B" w:rsidRPr="0067253B" w:rsidRDefault="0067253B" w:rsidP="0067253B">
      <w:pPr>
        <w:textAlignment w:val="auto"/>
        <w:rPr>
          <w:rFonts w:ascii="Times New Roman" w:hAnsi="Times New Roman"/>
        </w:rPr>
      </w:pPr>
      <w:r w:rsidRPr="0067253B">
        <w:rPr>
          <w:rFonts w:ascii="Times New Roman" w:hAnsi="Times New Roman"/>
        </w:rPr>
        <w:t>Conversions can be submitted in bundles, up to ten conversions per submission, @ $250 per submission.</w:t>
      </w:r>
      <w:r>
        <w:rPr>
          <w:rFonts w:ascii="Times New Roman" w:hAnsi="Times New Roman"/>
        </w:rPr>
        <w:br/>
      </w:r>
    </w:p>
    <w:tbl>
      <w:tblPr>
        <w:tblW w:w="10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84"/>
        <w:gridCol w:w="7902"/>
      </w:tblGrid>
      <w:tr w:rsidR="006C3FA5" w:rsidTr="00C676C1">
        <w:trPr>
          <w:trHeight w:val="453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3FA5" w:rsidRDefault="006C3FA5" w:rsidP="007C460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1. Name of Institution:</w:t>
            </w:r>
          </w:p>
        </w:tc>
        <w:tc>
          <w:tcPr>
            <w:tcW w:w="7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FA5" w:rsidRDefault="006C3FA5" w:rsidP="007C460A">
            <w:pPr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highlight w:val="lightGray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0" w:name="Text59"/>
            <w:r>
              <w:rPr>
                <w:rFonts w:ascii="Times New Roman" w:hAnsi="Times New Roman"/>
                <w:b/>
                <w:highlight w:val="lightGray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highlight w:val="lightGray"/>
                <w:u w:val="single"/>
              </w:rPr>
            </w:r>
            <w:r>
              <w:rPr>
                <w:rFonts w:ascii="Times New Roman" w:hAnsi="Times New Roman"/>
                <w:b/>
                <w:highlight w:val="lightGray"/>
                <w:u w:val="single"/>
              </w:rPr>
              <w:fldChar w:fldCharType="separate"/>
            </w:r>
            <w:r>
              <w:rPr>
                <w:rFonts w:ascii="Times New Roman" w:hAnsi="Times New Roman"/>
                <w:b/>
                <w:highlight w:val="lightGray"/>
                <w:u w:val="single"/>
              </w:rPr>
              <w:t> </w:t>
            </w:r>
            <w:r>
              <w:rPr>
                <w:rFonts w:ascii="Times New Roman" w:hAnsi="Times New Roman"/>
                <w:b/>
                <w:highlight w:val="lightGray"/>
                <w:u w:val="single"/>
              </w:rPr>
              <w:t> </w:t>
            </w:r>
            <w:r>
              <w:rPr>
                <w:rFonts w:ascii="Times New Roman" w:hAnsi="Times New Roman"/>
                <w:b/>
                <w:highlight w:val="lightGray"/>
                <w:u w:val="single"/>
              </w:rPr>
              <w:t> </w:t>
            </w:r>
            <w:r>
              <w:rPr>
                <w:rFonts w:ascii="Times New Roman" w:hAnsi="Times New Roman"/>
                <w:b/>
                <w:highlight w:val="lightGray"/>
                <w:u w:val="single"/>
              </w:rPr>
              <w:t> </w:t>
            </w:r>
            <w:r>
              <w:rPr>
                <w:rFonts w:ascii="Times New Roman" w:hAnsi="Times New Roman"/>
                <w:b/>
                <w:highlight w:val="lightGray"/>
                <w:u w:val="single"/>
              </w:rPr>
              <w:t> </w:t>
            </w:r>
            <w:r>
              <w:rPr>
                <w:rFonts w:ascii="Times New Roman" w:hAnsi="Times New Roman"/>
                <w:b/>
                <w:highlight w:val="lightGray"/>
                <w:u w:val="single"/>
              </w:rPr>
              <w:fldChar w:fldCharType="end"/>
            </w:r>
            <w:bookmarkEnd w:id="0"/>
          </w:p>
        </w:tc>
      </w:tr>
    </w:tbl>
    <w:p w:rsidR="006C3FA5" w:rsidRDefault="006C3FA5" w:rsidP="006C3FA5">
      <w:pPr>
        <w:rPr>
          <w:rFonts w:ascii="Times New Roman" w:hAnsi="Times New Roman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917"/>
        <w:gridCol w:w="3554"/>
        <w:gridCol w:w="3872"/>
      </w:tblGrid>
      <w:tr w:rsidR="006C3FA5" w:rsidTr="00C676C1">
        <w:trPr>
          <w:cantSplit/>
          <w:trHeight w:val="783"/>
        </w:trPr>
        <w:tc>
          <w:tcPr>
            <w:tcW w:w="2917" w:type="dxa"/>
            <w:vAlign w:val="center"/>
          </w:tcPr>
          <w:p w:rsidR="006C3FA5" w:rsidRDefault="006C3FA5" w:rsidP="006C3FA5">
            <w:pPr>
              <w:ind w:left="270" w:hanging="2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Name of </w:t>
            </w:r>
            <w:r w:rsidR="00C676C1">
              <w:rPr>
                <w:rFonts w:ascii="Times New Roman" w:hAnsi="Times New Roman"/>
              </w:rPr>
              <w:t>degree program</w:t>
            </w:r>
            <w:r>
              <w:rPr>
                <w:rFonts w:ascii="Times New Roman" w:hAnsi="Times New Roman"/>
              </w:rPr>
              <w:t>:</w:t>
            </w:r>
          </w:p>
          <w:p w:rsidR="00445D8C" w:rsidRDefault="00445D8C" w:rsidP="006C3FA5">
            <w:pPr>
              <w:ind w:left="270" w:hanging="270"/>
              <w:rPr>
                <w:rFonts w:ascii="Times New Roman" w:hAnsi="Times New Roman"/>
              </w:rPr>
            </w:pPr>
          </w:p>
          <w:p w:rsidR="006C3FA5" w:rsidRPr="00C676C1" w:rsidRDefault="00C676C1" w:rsidP="006C3FA5">
            <w:pPr>
              <w:ind w:left="270" w:hanging="2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Name of option being converted:</w:t>
            </w:r>
          </w:p>
        </w:tc>
        <w:tc>
          <w:tcPr>
            <w:tcW w:w="3554" w:type="dxa"/>
          </w:tcPr>
          <w:p w:rsidR="006C3FA5" w:rsidRDefault="006C3FA5" w:rsidP="006C3FA5">
            <w:pPr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highlight w:val="lightGray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highlight w:val="lightGray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highlight w:val="lightGray"/>
                <w:u w:val="single"/>
              </w:rPr>
            </w:r>
            <w:r>
              <w:rPr>
                <w:rFonts w:ascii="Times New Roman" w:hAnsi="Times New Roman"/>
                <w:b/>
                <w:highlight w:val="lightGray"/>
                <w:u w:val="single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highlight w:val="lightGray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highlight w:val="lightGray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highlight w:val="lightGray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highlight w:val="lightGray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highlight w:val="lightGray"/>
                <w:u w:val="single"/>
              </w:rPr>
              <w:t> </w:t>
            </w:r>
            <w:r>
              <w:rPr>
                <w:rFonts w:ascii="Times New Roman" w:hAnsi="Times New Roman"/>
                <w:b/>
                <w:highlight w:val="lightGray"/>
                <w:u w:val="single"/>
              </w:rPr>
              <w:fldChar w:fldCharType="end"/>
            </w:r>
          </w:p>
          <w:p w:rsidR="00C676C1" w:rsidRDefault="00C676C1" w:rsidP="006C3FA5">
            <w:pPr>
              <w:rPr>
                <w:rFonts w:ascii="Times New Roman" w:hAnsi="Times New Roman"/>
                <w:b/>
                <w:u w:val="single"/>
              </w:rPr>
            </w:pPr>
          </w:p>
          <w:p w:rsidR="00C676C1" w:rsidRDefault="00C676C1" w:rsidP="00C676C1">
            <w:pPr>
              <w:rPr>
                <w:rFonts w:ascii="Times New Roman" w:hAnsi="Times New Roman"/>
                <w:b/>
                <w:highlight w:val="lightGray"/>
                <w:u w:val="single"/>
              </w:rPr>
            </w:pPr>
          </w:p>
          <w:p w:rsidR="00C676C1" w:rsidRDefault="00C676C1" w:rsidP="00C676C1">
            <w:pPr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highlight w:val="lightGray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highlight w:val="lightGray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highlight w:val="lightGray"/>
                <w:u w:val="single"/>
              </w:rPr>
            </w:r>
            <w:r>
              <w:rPr>
                <w:rFonts w:ascii="Times New Roman" w:hAnsi="Times New Roman"/>
                <w:b/>
                <w:highlight w:val="lightGray"/>
                <w:u w:val="single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highlight w:val="lightGray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highlight w:val="lightGray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highlight w:val="lightGray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highlight w:val="lightGray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highlight w:val="lightGray"/>
                <w:u w:val="single"/>
              </w:rPr>
              <w:t> </w:t>
            </w:r>
            <w:r>
              <w:rPr>
                <w:rFonts w:ascii="Times New Roman" w:hAnsi="Times New Roman"/>
                <w:b/>
                <w:highlight w:val="lightGray"/>
                <w:u w:val="single"/>
              </w:rPr>
              <w:fldChar w:fldCharType="end"/>
            </w:r>
          </w:p>
          <w:p w:rsidR="006C3FA5" w:rsidRDefault="006C3FA5" w:rsidP="007C460A">
            <w:pPr>
              <w:rPr>
                <w:rFonts w:ascii="Times New Roman" w:hAnsi="Times New Roman"/>
                <w:b/>
                <w:u w:val="single"/>
              </w:rPr>
            </w:pPr>
          </w:p>
          <w:p w:rsidR="00C676C1" w:rsidRDefault="00C676C1" w:rsidP="007C460A">
            <w:pPr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3872" w:type="dxa"/>
            <w:vAlign w:val="bottom"/>
          </w:tcPr>
          <w:p w:rsidR="00C676C1" w:rsidRPr="006C3FA5" w:rsidRDefault="00C676C1" w:rsidP="007C46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When did the option first become available? </w:t>
            </w:r>
            <w:r>
              <w:rPr>
                <w:rFonts w:ascii="Times New Roman" w:hAnsi="Times New Roman"/>
                <w:b/>
                <w:highlight w:val="lightGray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highlight w:val="lightGray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highlight w:val="lightGray"/>
                <w:u w:val="single"/>
              </w:rPr>
            </w:r>
            <w:r>
              <w:rPr>
                <w:rFonts w:ascii="Times New Roman" w:hAnsi="Times New Roman"/>
                <w:b/>
                <w:highlight w:val="lightGray"/>
                <w:u w:val="single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highlight w:val="lightGray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highlight w:val="lightGray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highlight w:val="lightGray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highlight w:val="lightGray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highlight w:val="lightGray"/>
                <w:u w:val="single"/>
              </w:rPr>
              <w:t> </w:t>
            </w:r>
            <w:r>
              <w:rPr>
                <w:rFonts w:ascii="Times New Roman" w:hAnsi="Times New Roman"/>
                <w:b/>
                <w:highlight w:val="lightGray"/>
                <w:u w:val="single"/>
              </w:rPr>
              <w:fldChar w:fldCharType="end"/>
            </w:r>
          </w:p>
          <w:p w:rsidR="006C3FA5" w:rsidRDefault="006C3FA5" w:rsidP="006C3FA5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  <w:tr w:rsidR="006C3FA5" w:rsidTr="00C676C1">
        <w:trPr>
          <w:cantSplit/>
          <w:trHeight w:val="322"/>
        </w:trPr>
        <w:tc>
          <w:tcPr>
            <w:tcW w:w="2917" w:type="dxa"/>
            <w:vAlign w:val="center"/>
          </w:tcPr>
          <w:p w:rsidR="006C3FA5" w:rsidRPr="006C3FA5" w:rsidRDefault="00C676C1" w:rsidP="00C676C1">
            <w:pPr>
              <w:ind w:left="270" w:hanging="2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C3FA5">
              <w:rPr>
                <w:rFonts w:ascii="Times New Roman" w:hAnsi="Times New Roman"/>
              </w:rPr>
              <w:t>. Name of new Area of Concentration (AOC):</w:t>
            </w:r>
          </w:p>
        </w:tc>
        <w:tc>
          <w:tcPr>
            <w:tcW w:w="3554" w:type="dxa"/>
          </w:tcPr>
          <w:p w:rsidR="006C3FA5" w:rsidRDefault="006C3FA5" w:rsidP="007C460A">
            <w:pPr>
              <w:rPr>
                <w:rFonts w:ascii="Times New Roman" w:hAnsi="Times New Roman"/>
                <w:b/>
                <w:highlight w:val="lightGray"/>
                <w:u w:val="single"/>
              </w:rPr>
            </w:pPr>
          </w:p>
          <w:p w:rsidR="006C3FA5" w:rsidRDefault="006C3FA5" w:rsidP="00C60E26">
            <w:pPr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highlight w:val="lightGray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highlight w:val="lightGray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highlight w:val="lightGray"/>
                <w:u w:val="single"/>
              </w:rPr>
            </w:r>
            <w:r>
              <w:rPr>
                <w:rFonts w:ascii="Times New Roman" w:hAnsi="Times New Roman"/>
                <w:b/>
                <w:highlight w:val="lightGray"/>
                <w:u w:val="single"/>
              </w:rPr>
              <w:fldChar w:fldCharType="separate"/>
            </w:r>
            <w:r w:rsidR="00C60E26">
              <w:rPr>
                <w:rFonts w:ascii="Times New Roman" w:hAnsi="Times New Roman"/>
                <w:b/>
                <w:highlight w:val="lightGray"/>
                <w:u w:val="single"/>
              </w:rPr>
              <w:t> </w:t>
            </w:r>
            <w:r w:rsidR="00C60E26">
              <w:rPr>
                <w:rFonts w:ascii="Times New Roman" w:hAnsi="Times New Roman"/>
                <w:b/>
                <w:highlight w:val="lightGray"/>
                <w:u w:val="single"/>
              </w:rPr>
              <w:t> </w:t>
            </w:r>
            <w:r w:rsidR="00C60E26">
              <w:rPr>
                <w:rFonts w:ascii="Times New Roman" w:hAnsi="Times New Roman"/>
                <w:b/>
                <w:highlight w:val="lightGray"/>
                <w:u w:val="single"/>
              </w:rPr>
              <w:t> </w:t>
            </w:r>
            <w:r w:rsidR="00C60E26">
              <w:rPr>
                <w:rFonts w:ascii="Times New Roman" w:hAnsi="Times New Roman"/>
                <w:b/>
                <w:highlight w:val="lightGray"/>
                <w:u w:val="single"/>
              </w:rPr>
              <w:t> </w:t>
            </w:r>
            <w:r w:rsidR="00C60E26">
              <w:rPr>
                <w:rFonts w:ascii="Times New Roman" w:hAnsi="Times New Roman"/>
                <w:b/>
                <w:highlight w:val="lightGray"/>
                <w:u w:val="single"/>
              </w:rPr>
              <w:t> </w:t>
            </w:r>
            <w:r>
              <w:rPr>
                <w:rFonts w:ascii="Times New Roman" w:hAnsi="Times New Roman"/>
                <w:b/>
                <w:highlight w:val="lightGray"/>
                <w:u w:val="single"/>
              </w:rPr>
              <w:fldChar w:fldCharType="end"/>
            </w:r>
          </w:p>
        </w:tc>
        <w:tc>
          <w:tcPr>
            <w:tcW w:w="3872" w:type="dxa"/>
            <w:vAlign w:val="bottom"/>
          </w:tcPr>
          <w:p w:rsidR="006C3FA5" w:rsidRDefault="006C3FA5" w:rsidP="007C460A">
            <w:pPr>
              <w:rPr>
                <w:rFonts w:ascii="Times New Roman" w:hAnsi="Times New Roman"/>
                <w:b/>
                <w:u w:val="single"/>
              </w:rPr>
            </w:pPr>
          </w:p>
          <w:p w:rsidR="006C3FA5" w:rsidRDefault="006C3FA5" w:rsidP="007C460A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</w:tbl>
    <w:p w:rsidR="006C3FA5" w:rsidRDefault="006C3FA5" w:rsidP="006C3FA5">
      <w:pPr>
        <w:pStyle w:val="EndnoteText"/>
        <w:rPr>
          <w:rFonts w:ascii="Times New Roman" w:hAnsi="Times New Roman"/>
        </w:rPr>
      </w:pPr>
    </w:p>
    <w:p w:rsidR="006C3FA5" w:rsidRDefault="006C3FA5" w:rsidP="006C3FA5">
      <w:pPr>
        <w:pStyle w:val="EndnoteText"/>
        <w:rPr>
          <w:rFonts w:ascii="Times New Roman" w:hAnsi="Times New Roman"/>
        </w:rPr>
      </w:pPr>
    </w:p>
    <w:tbl>
      <w:tblPr>
        <w:tblW w:w="10350" w:type="dxa"/>
        <w:tblLook w:val="0000" w:firstRow="0" w:lastRow="0" w:firstColumn="0" w:lastColumn="0" w:noHBand="0" w:noVBand="0"/>
      </w:tblPr>
      <w:tblGrid>
        <w:gridCol w:w="223"/>
        <w:gridCol w:w="5550"/>
        <w:gridCol w:w="2619"/>
        <w:gridCol w:w="1313"/>
        <w:gridCol w:w="645"/>
      </w:tblGrid>
      <w:tr w:rsidR="006C3FA5" w:rsidTr="00172567">
        <w:trPr>
          <w:trHeight w:val="362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FA5" w:rsidRDefault="00445D8C" w:rsidP="006C3F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C3FA5">
              <w:rPr>
                <w:rFonts w:ascii="Times New Roman" w:hAnsi="Times New Roman"/>
              </w:rPr>
              <w:t>. Explain the centrality of the proposed area of concentration (AOC) to the institution’s mission:</w:t>
            </w:r>
          </w:p>
          <w:p w:rsidR="006C3FA5" w:rsidRDefault="006C3FA5" w:rsidP="006C3FA5">
            <w:pPr>
              <w:rPr>
                <w:rFonts w:ascii="Times New Roman" w:hAnsi="Times New Roman"/>
              </w:rPr>
            </w:pPr>
          </w:p>
          <w:p w:rsidR="006C3FA5" w:rsidRDefault="006C3FA5" w:rsidP="007C460A">
            <w:pPr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highlight w:val="lightGray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highlight w:val="lightGray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highlight w:val="lightGray"/>
                <w:u w:val="single"/>
              </w:rPr>
            </w:r>
            <w:r>
              <w:rPr>
                <w:rFonts w:ascii="Times New Roman" w:hAnsi="Times New Roman"/>
                <w:b/>
                <w:highlight w:val="lightGray"/>
                <w:u w:val="single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highlight w:val="lightGray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highlight w:val="lightGray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highlight w:val="lightGray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highlight w:val="lightGray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highlight w:val="lightGray"/>
                <w:u w:val="single"/>
              </w:rPr>
              <w:t> </w:t>
            </w:r>
            <w:r>
              <w:rPr>
                <w:rFonts w:ascii="Times New Roman" w:hAnsi="Times New Roman"/>
                <w:b/>
                <w:highlight w:val="lightGray"/>
                <w:u w:val="single"/>
              </w:rPr>
              <w:fldChar w:fldCharType="end"/>
            </w:r>
          </w:p>
        </w:tc>
      </w:tr>
      <w:tr w:rsidR="006C3FA5" w:rsidTr="00172567">
        <w:trPr>
          <w:trHeight w:val="246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3FA5" w:rsidRDefault="006C3FA5" w:rsidP="007C460A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3FA5" w:rsidRDefault="006C3FA5" w:rsidP="007C460A">
            <w:pPr>
              <w:rPr>
                <w:rFonts w:ascii="Times New Roman" w:hAnsi="Times New Roman"/>
                <w:b/>
                <w:i/>
                <w:iCs/>
                <w:sz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3FA5" w:rsidRDefault="006C3FA5" w:rsidP="007C460A">
            <w:pPr>
              <w:rPr>
                <w:rFonts w:ascii="Times New Roman" w:hAnsi="Times New Roman"/>
                <w:b/>
                <w:i/>
                <w:iCs/>
                <w:sz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3FA5" w:rsidRDefault="006C3FA5" w:rsidP="007C460A">
            <w:pPr>
              <w:rPr>
                <w:rFonts w:ascii="Times New Roman" w:hAnsi="Times New Roman"/>
                <w:b/>
                <w:i/>
                <w:iCs/>
                <w:sz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3FA5" w:rsidRDefault="006C3FA5" w:rsidP="007C460A">
            <w:pPr>
              <w:rPr>
                <w:rFonts w:ascii="Times New Roman" w:hAnsi="Times New Roman"/>
                <w:b/>
                <w:i/>
                <w:iCs/>
                <w:sz w:val="20"/>
              </w:rPr>
            </w:pPr>
          </w:p>
        </w:tc>
      </w:tr>
    </w:tbl>
    <w:p w:rsidR="006C3FA5" w:rsidRDefault="006C3FA5" w:rsidP="006C3FA5">
      <w:pPr>
        <w:pStyle w:val="Header"/>
        <w:tabs>
          <w:tab w:val="left" w:pos="720"/>
        </w:tabs>
        <w:overflowPunct/>
        <w:autoSpaceDE/>
        <w:adjustRightInd/>
        <w:rPr>
          <w:rFonts w:ascii="Times New Roman" w:hAnsi="Times New Roman"/>
          <w:szCs w:val="24"/>
        </w:rPr>
      </w:pPr>
    </w:p>
    <w:tbl>
      <w:tblPr>
        <w:tblW w:w="10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357"/>
      </w:tblGrid>
      <w:tr w:rsidR="00445D8C" w:rsidTr="0067253B">
        <w:trPr>
          <w:trHeight w:val="477"/>
        </w:trPr>
        <w:tc>
          <w:tcPr>
            <w:tcW w:w="10357" w:type="dxa"/>
            <w:vAlign w:val="center"/>
          </w:tcPr>
          <w:p w:rsidR="00445D8C" w:rsidRDefault="00445D8C" w:rsidP="007C46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Outline the new Area of Concentration’s curriculum design (including course names, course descriptions and credit hours).  </w:t>
            </w:r>
            <w:r w:rsidRPr="00445D8C">
              <w:rPr>
                <w:rFonts w:ascii="Times New Roman" w:hAnsi="Times New Roman"/>
                <w:b/>
              </w:rPr>
              <w:t>PLEASE NOTE:  Credit hours for an AOC must be between 12 and 30 semester hours</w:t>
            </w:r>
            <w:r>
              <w:rPr>
                <w:rFonts w:ascii="Times New Roman" w:hAnsi="Times New Roman"/>
              </w:rPr>
              <w:t>.</w:t>
            </w:r>
          </w:p>
          <w:p w:rsidR="00445D8C" w:rsidRDefault="00445D8C" w:rsidP="007C460A">
            <w:pPr>
              <w:rPr>
                <w:rFonts w:ascii="Times New Roman" w:hAnsi="Times New Roman"/>
                <w:b/>
              </w:rPr>
            </w:pPr>
          </w:p>
          <w:p w:rsidR="00445D8C" w:rsidRDefault="00445D8C" w:rsidP="007C460A">
            <w:pPr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highlight w:val="lightGray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highlight w:val="lightGray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highlight w:val="lightGray"/>
                <w:u w:val="single"/>
              </w:rPr>
            </w:r>
            <w:r>
              <w:rPr>
                <w:rFonts w:ascii="Times New Roman" w:hAnsi="Times New Roman"/>
                <w:b/>
                <w:highlight w:val="lightGray"/>
                <w:u w:val="single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highlight w:val="lightGray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highlight w:val="lightGray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highlight w:val="lightGray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highlight w:val="lightGray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highlight w:val="lightGray"/>
                <w:u w:val="single"/>
              </w:rPr>
              <w:t> </w:t>
            </w:r>
            <w:r>
              <w:rPr>
                <w:rFonts w:ascii="Times New Roman" w:hAnsi="Times New Roman"/>
                <w:b/>
                <w:highlight w:val="lightGray"/>
                <w:u w:val="single"/>
              </w:rPr>
              <w:fldChar w:fldCharType="end"/>
            </w:r>
          </w:p>
          <w:p w:rsidR="00445D8C" w:rsidRDefault="00445D8C" w:rsidP="007C460A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</w:tbl>
    <w:p w:rsidR="006C3FA5" w:rsidRDefault="006C3FA5" w:rsidP="006C3FA5">
      <w:pPr>
        <w:pStyle w:val="Header"/>
        <w:tabs>
          <w:tab w:val="left" w:pos="720"/>
        </w:tabs>
        <w:overflowPunct/>
        <w:autoSpaceDE/>
        <w:adjustRightInd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53340</wp:posOffset>
                </wp:positionV>
                <wp:extent cx="6607175" cy="2743200"/>
                <wp:effectExtent l="0" t="0" r="2222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717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60A" w:rsidRDefault="007C460A" w:rsidP="006C3F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6.9pt;margin-top:4.2pt;width:520.25pt;height:3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">
                <v:textbox>
                  <w:txbxContent>
                    <w:p w:rsidR="007C460A" w:rsidRDefault="007C460A" w:rsidP="006C3FA5"/>
                  </w:txbxContent>
                </v:textbox>
                <w10:anchorlock/>
              </v:shape>
            </w:pict>
          </mc:Fallback>
        </mc:AlternateContent>
      </w:r>
    </w:p>
    <w:tbl>
      <w:tblPr>
        <w:tblW w:w="10371" w:type="dxa"/>
        <w:tblLook w:val="0000" w:firstRow="0" w:lastRow="0" w:firstColumn="0" w:lastColumn="0" w:noHBand="0" w:noVBand="0"/>
      </w:tblPr>
      <w:tblGrid>
        <w:gridCol w:w="130"/>
        <w:gridCol w:w="10241"/>
      </w:tblGrid>
      <w:tr w:rsidR="006C3FA5" w:rsidRPr="00E81691" w:rsidTr="00172567">
        <w:trPr>
          <w:trHeight w:val="317"/>
        </w:trPr>
        <w:tc>
          <w:tcPr>
            <w:tcW w:w="10371" w:type="dxa"/>
            <w:gridSpan w:val="2"/>
            <w:vAlign w:val="center"/>
          </w:tcPr>
          <w:p w:rsidR="006C3FA5" w:rsidRPr="00E81691" w:rsidRDefault="00445D8C" w:rsidP="00445D8C">
            <w:pPr>
              <w:pStyle w:val="Header"/>
              <w:tabs>
                <w:tab w:val="left" w:pos="720"/>
              </w:tabs>
              <w:overflowPunct/>
              <w:autoSpaceDE/>
              <w:adjustRightInd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6</w:t>
            </w:r>
            <w:r w:rsidR="006C3FA5" w:rsidRPr="00E81691">
              <w:rPr>
                <w:rFonts w:ascii="Times New Roman" w:hAnsi="Times New Roman"/>
                <w:bCs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Cs w:val="24"/>
              </w:rPr>
              <w:t>Identify one of the following</w:t>
            </w:r>
            <w:r w:rsidR="006C3FA5" w:rsidRPr="00E81691">
              <w:rPr>
                <w:rFonts w:ascii="Times New Roman" w:hAnsi="Times New Roman"/>
                <w:bCs/>
                <w:szCs w:val="24"/>
              </w:rPr>
              <w:t>:</w:t>
            </w:r>
          </w:p>
        </w:tc>
      </w:tr>
      <w:tr w:rsidR="006C3FA5" w:rsidRPr="00E81691" w:rsidTr="00172567">
        <w:trPr>
          <w:gridBefore w:val="1"/>
          <w:wBefore w:w="130" w:type="dxa"/>
          <w:trHeight w:val="317"/>
        </w:trPr>
        <w:tc>
          <w:tcPr>
            <w:tcW w:w="10241" w:type="dxa"/>
            <w:vAlign w:val="center"/>
          </w:tcPr>
          <w:p w:rsidR="006C3FA5" w:rsidRPr="00E81691" w:rsidRDefault="00445D8C" w:rsidP="003B5CDA">
            <w:pPr>
              <w:ind w:left="702" w:hanging="5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6C3FA5" w:rsidRPr="00E81691">
              <w:rPr>
                <w:rFonts w:ascii="Times New Roman" w:hAnsi="Times New Roman"/>
              </w:rPr>
              <w:t xml:space="preserve">a. </w:t>
            </w:r>
            <w:r w:rsidR="003B5CDA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Education need for the Area of Concentration, including the regional or</w:t>
            </w:r>
            <w:r w:rsidR="003B5CD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statewide need as identified in the State Plan; </w:t>
            </w:r>
            <w:r w:rsidR="00172567">
              <w:rPr>
                <w:rFonts w:ascii="Times New Roman" w:hAnsi="Times New Roman"/>
              </w:rPr>
              <w:t>OR</w:t>
            </w:r>
          </w:p>
        </w:tc>
      </w:tr>
      <w:tr w:rsidR="006C3FA5" w:rsidRPr="00E81691" w:rsidTr="00172567">
        <w:trPr>
          <w:gridBefore w:val="1"/>
          <w:wBefore w:w="130" w:type="dxa"/>
          <w:trHeight w:val="560"/>
        </w:trPr>
        <w:tc>
          <w:tcPr>
            <w:tcW w:w="10241" w:type="dxa"/>
            <w:vAlign w:val="center"/>
          </w:tcPr>
          <w:p w:rsidR="006C3FA5" w:rsidRPr="00E81691" w:rsidRDefault="006C3FA5" w:rsidP="003B5CDA">
            <w:pPr>
              <w:ind w:left="702"/>
              <w:rPr>
                <w:rFonts w:ascii="Times New Roman" w:hAnsi="Times New Roman"/>
                <w:b/>
                <w:u w:val="single"/>
              </w:rPr>
            </w:pPr>
            <w:r w:rsidRPr="00E81691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81691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Pr="00E81691">
              <w:rPr>
                <w:rFonts w:ascii="Times New Roman" w:hAnsi="Times New Roman"/>
                <w:b/>
                <w:u w:val="single"/>
              </w:rPr>
            </w:r>
            <w:r w:rsidRPr="00E81691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E81691">
              <w:rPr>
                <w:b/>
                <w:noProof/>
                <w:u w:val="single"/>
              </w:rPr>
              <w:t> </w:t>
            </w:r>
            <w:r w:rsidRPr="00E81691">
              <w:rPr>
                <w:b/>
                <w:noProof/>
                <w:u w:val="single"/>
              </w:rPr>
              <w:t> </w:t>
            </w:r>
            <w:r w:rsidRPr="00E81691">
              <w:rPr>
                <w:b/>
                <w:noProof/>
                <w:u w:val="single"/>
              </w:rPr>
              <w:t> </w:t>
            </w:r>
            <w:r w:rsidRPr="00E81691">
              <w:rPr>
                <w:b/>
                <w:noProof/>
                <w:u w:val="single"/>
              </w:rPr>
              <w:t> </w:t>
            </w:r>
            <w:r w:rsidRPr="00E81691">
              <w:rPr>
                <w:b/>
                <w:noProof/>
                <w:u w:val="single"/>
              </w:rPr>
              <w:t> </w:t>
            </w:r>
            <w:r w:rsidRPr="00E81691">
              <w:rPr>
                <w:rFonts w:ascii="Times New Roman" w:hAnsi="Times New Roman"/>
                <w:b/>
                <w:u w:val="single"/>
              </w:rPr>
              <w:fldChar w:fldCharType="end"/>
            </w:r>
          </w:p>
        </w:tc>
      </w:tr>
      <w:tr w:rsidR="006C3FA5" w:rsidRPr="00E81691" w:rsidTr="00172567">
        <w:trPr>
          <w:gridBefore w:val="1"/>
          <w:wBefore w:w="130" w:type="dxa"/>
          <w:trHeight w:val="317"/>
        </w:trPr>
        <w:tc>
          <w:tcPr>
            <w:tcW w:w="10241" w:type="dxa"/>
            <w:vAlign w:val="center"/>
          </w:tcPr>
          <w:p w:rsidR="00445D8C" w:rsidRDefault="00445D8C" w:rsidP="007C460A">
            <w:pPr>
              <w:rPr>
                <w:rFonts w:ascii="Times New Roman" w:hAnsi="Times New Roman"/>
              </w:rPr>
            </w:pPr>
          </w:p>
          <w:p w:rsidR="00172567" w:rsidRDefault="00172567" w:rsidP="007C460A">
            <w:pPr>
              <w:rPr>
                <w:rFonts w:ascii="Times New Roman" w:hAnsi="Times New Roman"/>
              </w:rPr>
            </w:pPr>
          </w:p>
          <w:p w:rsidR="00172567" w:rsidRDefault="00172567" w:rsidP="007C460A">
            <w:pPr>
              <w:rPr>
                <w:rFonts w:ascii="Times New Roman" w:hAnsi="Times New Roman"/>
              </w:rPr>
            </w:pPr>
          </w:p>
          <w:p w:rsidR="00172567" w:rsidRDefault="00172567" w:rsidP="007C460A">
            <w:pPr>
              <w:rPr>
                <w:rFonts w:ascii="Times New Roman" w:hAnsi="Times New Roman"/>
              </w:rPr>
            </w:pPr>
          </w:p>
          <w:p w:rsidR="00172567" w:rsidRDefault="00172567" w:rsidP="007C460A">
            <w:pPr>
              <w:rPr>
                <w:rFonts w:ascii="Times New Roman" w:hAnsi="Times New Roman"/>
              </w:rPr>
            </w:pPr>
          </w:p>
          <w:p w:rsidR="007C460A" w:rsidRDefault="003B5CDA" w:rsidP="003B5CDA">
            <w:pPr>
              <w:ind w:left="702" w:hanging="540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6</w:t>
            </w:r>
            <w:r w:rsidR="006C3FA5" w:rsidRPr="00E81691">
              <w:rPr>
                <w:rFonts w:ascii="Times New Roman" w:hAnsi="Times New Roman"/>
              </w:rPr>
              <w:t xml:space="preserve">b. </w:t>
            </w:r>
            <w:r>
              <w:rPr>
                <w:rFonts w:ascii="Times New Roman" w:hAnsi="Times New Roman"/>
              </w:rPr>
              <w:t xml:space="preserve">   Identify the transfer or articulation arrangements that the area of concentration will facilitate or support (include any relevant Memoranda of Understanding, if applicable)</w:t>
            </w:r>
            <w:r w:rsidR="006C3FA5" w:rsidRPr="00E81691">
              <w:rPr>
                <w:rFonts w:ascii="Times New Roman" w:hAnsi="Times New Roman"/>
              </w:rPr>
              <w:t>:</w:t>
            </w:r>
            <w:r w:rsidR="007C460A" w:rsidRPr="00E81691">
              <w:rPr>
                <w:rFonts w:ascii="Times New Roman" w:hAnsi="Times New Roman"/>
                <w:b/>
                <w:u w:val="single"/>
              </w:rPr>
              <w:t xml:space="preserve"> </w:t>
            </w:r>
          </w:p>
          <w:p w:rsidR="006C3FA5" w:rsidRPr="00E81691" w:rsidRDefault="007C460A" w:rsidP="007C460A">
            <w:pPr>
              <w:ind w:left="702" w:hanging="22"/>
              <w:rPr>
                <w:rFonts w:ascii="Times New Roman" w:hAnsi="Times New Roman"/>
                <w:b/>
                <w:bCs/>
              </w:rPr>
            </w:pPr>
            <w:r w:rsidRPr="00E81691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E81691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Pr="00E81691">
              <w:rPr>
                <w:rFonts w:ascii="Times New Roman" w:hAnsi="Times New Roman"/>
                <w:b/>
                <w:u w:val="single"/>
              </w:rPr>
            </w:r>
            <w:r w:rsidRPr="00E81691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E81691">
              <w:rPr>
                <w:b/>
                <w:noProof/>
                <w:u w:val="single"/>
              </w:rPr>
              <w:t> </w:t>
            </w:r>
            <w:r w:rsidRPr="00E81691">
              <w:rPr>
                <w:b/>
                <w:noProof/>
                <w:u w:val="single"/>
              </w:rPr>
              <w:t> </w:t>
            </w:r>
            <w:r w:rsidRPr="00E81691">
              <w:rPr>
                <w:b/>
                <w:noProof/>
                <w:u w:val="single"/>
              </w:rPr>
              <w:t> </w:t>
            </w:r>
            <w:r w:rsidRPr="00E81691">
              <w:rPr>
                <w:b/>
                <w:noProof/>
                <w:u w:val="single"/>
              </w:rPr>
              <w:t> </w:t>
            </w:r>
            <w:r w:rsidRPr="00E81691">
              <w:rPr>
                <w:b/>
                <w:noProof/>
                <w:u w:val="single"/>
              </w:rPr>
              <w:t> </w:t>
            </w:r>
            <w:r w:rsidRPr="00E81691">
              <w:rPr>
                <w:rFonts w:ascii="Times New Roman" w:hAnsi="Times New Roman"/>
                <w:b/>
                <w:u w:val="single"/>
              </w:rPr>
              <w:fldChar w:fldCharType="end"/>
            </w:r>
          </w:p>
        </w:tc>
      </w:tr>
    </w:tbl>
    <w:p w:rsidR="006C3FA5" w:rsidRDefault="006C3FA5" w:rsidP="0094705C">
      <w:pPr>
        <w:suppressAutoHyphens/>
        <w:rPr>
          <w:rFonts w:ascii="Times New Roman" w:hAnsi="Times New Roman"/>
        </w:rPr>
      </w:pPr>
      <w:bookmarkStart w:id="1" w:name="_GoBack"/>
      <w:bookmarkEnd w:id="1"/>
    </w:p>
    <w:sectPr w:rsidR="006C3FA5" w:rsidSect="00C676C1">
      <w:pgSz w:w="12240" w:h="15840"/>
      <w:pgMar w:top="446" w:right="144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FA5"/>
    <w:rsid w:val="00172567"/>
    <w:rsid w:val="003556B1"/>
    <w:rsid w:val="003B5CDA"/>
    <w:rsid w:val="003E1814"/>
    <w:rsid w:val="00445D8C"/>
    <w:rsid w:val="004A5F79"/>
    <w:rsid w:val="0067253B"/>
    <w:rsid w:val="006C3FA5"/>
    <w:rsid w:val="007C460A"/>
    <w:rsid w:val="00803EB1"/>
    <w:rsid w:val="0094705C"/>
    <w:rsid w:val="00AF5DEE"/>
    <w:rsid w:val="00C60E26"/>
    <w:rsid w:val="00C676C1"/>
    <w:rsid w:val="00CD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F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6C3FA5"/>
  </w:style>
  <w:style w:type="character" w:customStyle="1" w:styleId="EndnoteTextChar">
    <w:name w:val="Endnote Text Char"/>
    <w:basedOn w:val="DefaultParagraphFont"/>
    <w:link w:val="EndnoteText"/>
    <w:semiHidden/>
    <w:rsid w:val="006C3FA5"/>
    <w:rPr>
      <w:rFonts w:ascii="Courier" w:eastAsia="Times New Roman" w:hAnsi="Courier" w:cs="Times New Roman"/>
      <w:sz w:val="24"/>
      <w:szCs w:val="20"/>
    </w:rPr>
  </w:style>
  <w:style w:type="paragraph" w:styleId="Header">
    <w:name w:val="header"/>
    <w:basedOn w:val="Normal"/>
    <w:link w:val="HeaderChar"/>
    <w:rsid w:val="006C3F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C3FA5"/>
    <w:rPr>
      <w:rFonts w:ascii="Courier" w:eastAsia="Times New Roman" w:hAnsi="Courier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F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6C3FA5"/>
  </w:style>
  <w:style w:type="character" w:customStyle="1" w:styleId="EndnoteTextChar">
    <w:name w:val="Endnote Text Char"/>
    <w:basedOn w:val="DefaultParagraphFont"/>
    <w:link w:val="EndnoteText"/>
    <w:semiHidden/>
    <w:rsid w:val="006C3FA5"/>
    <w:rPr>
      <w:rFonts w:ascii="Courier" w:eastAsia="Times New Roman" w:hAnsi="Courier" w:cs="Times New Roman"/>
      <w:sz w:val="24"/>
      <w:szCs w:val="20"/>
    </w:rPr>
  </w:style>
  <w:style w:type="paragraph" w:styleId="Header">
    <w:name w:val="header"/>
    <w:basedOn w:val="Normal"/>
    <w:link w:val="HeaderChar"/>
    <w:rsid w:val="006C3F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C3FA5"/>
    <w:rPr>
      <w:rFonts w:ascii="Courier" w:eastAsia="Times New Roman" w:hAnsi="Courier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9E4A0BA9C83489A19899F73F4898D" ma:contentTypeVersion="4" ma:contentTypeDescription="Create a new document." ma:contentTypeScope="" ma:versionID="8c7a1980daff7f7b28857d66901bdfd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2A5460-9310-4F60-8C9E-42EF212D3DF9}"/>
</file>

<file path=customXml/itemProps2.xml><?xml version="1.0" encoding="utf-8"?>
<ds:datastoreItem xmlns:ds="http://schemas.openxmlformats.org/officeDocument/2006/customXml" ds:itemID="{C4BCE602-8653-4D9A-BE0A-4AC7A3D07CAF}"/>
</file>

<file path=customXml/itemProps3.xml><?xml version="1.0" encoding="utf-8"?>
<ds:datastoreItem xmlns:ds="http://schemas.openxmlformats.org/officeDocument/2006/customXml" ds:itemID="{21430511-D614-4039-95B7-AFC25A136EBA}"/>
</file>

<file path=customXml/itemProps4.xml><?xml version="1.0" encoding="utf-8"?>
<ds:datastoreItem xmlns:ds="http://schemas.openxmlformats.org/officeDocument/2006/customXml" ds:itemID="{F7451963-0143-411A-B319-FF9E90DD6E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 Higher Education Commission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Wheatley, Monica</dc:creator>
  <cp:lastModifiedBy>Reiner,  Anthony</cp:lastModifiedBy>
  <cp:revision>2</cp:revision>
  <dcterms:created xsi:type="dcterms:W3CDTF">2015-06-03T14:48:00Z</dcterms:created>
  <dcterms:modified xsi:type="dcterms:W3CDTF">2015-06-03T14:48:00Z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0x0101006F69E4A0BA9C83489A19899F73F4898D</vt:lpwstr>
  </property>
</Properties>
</file>